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8A3AE6" w14:textId="33E552CB" w:rsidR="003B2F9A" w:rsidRPr="000904AD" w:rsidRDefault="000904AD" w:rsidP="003B2F9A">
      <w:pPr>
        <w:pStyle w:val="Heading3"/>
        <w:rPr>
          <w:sz w:val="24"/>
          <w:lang w:val="es-ES"/>
        </w:rPr>
      </w:pPr>
      <w:r w:rsidRPr="000904AD">
        <w:rPr>
          <w:sz w:val="24"/>
          <w:lang w:val="es-ES"/>
        </w:rPr>
        <w:t xml:space="preserve">El Proyecto </w:t>
      </w:r>
      <w:r w:rsidR="003B2F9A" w:rsidRPr="000904AD">
        <w:rPr>
          <w:sz w:val="24"/>
          <w:lang w:val="es-ES"/>
        </w:rPr>
        <w:t>Esfera</w:t>
      </w:r>
      <w:r w:rsidRPr="000904AD">
        <w:rPr>
          <w:sz w:val="24"/>
          <w:lang w:val="es-ES"/>
        </w:rPr>
        <w:t>: breve visita guiada</w:t>
      </w:r>
    </w:p>
    <w:p w14:paraId="360887AA" w14:textId="77777777" w:rsidR="003918D7" w:rsidRPr="005C1626" w:rsidRDefault="003918D7" w:rsidP="005848E9">
      <w:pPr>
        <w:spacing w:before="160"/>
        <w:rPr>
          <w:lang w:val="es-ES"/>
        </w:rPr>
      </w:pPr>
      <w:r w:rsidRPr="005C1626">
        <w:rPr>
          <w:lang w:val="es-ES"/>
        </w:rPr>
        <w:t xml:space="preserve">El Proyecto Esfera es una iniciativa voluntaria que reúne un amplio abanico de organizaciones humanitarias. Su objetivo es ayudar a mejorar la calidad de la asistencia humanitaria a las personas afectadas por desastres o conflictos, además de la rendición de cuentas de las organizaciones humanitarias y los estados hacia sus miembros, a los donantes y a la población afectada. </w:t>
      </w:r>
    </w:p>
    <w:p w14:paraId="00495EE7" w14:textId="5CFBFADC" w:rsidR="003918D7" w:rsidRPr="005C1626" w:rsidRDefault="003918D7" w:rsidP="003918D7">
      <w:pPr>
        <w:rPr>
          <w:lang w:val="es-ES"/>
        </w:rPr>
      </w:pPr>
      <w:r w:rsidRPr="005C1626">
        <w:rPr>
          <w:lang w:val="es-ES"/>
        </w:rPr>
        <w:t>El Proyecto Esfera determina y p</w:t>
      </w:r>
      <w:bookmarkStart w:id="0" w:name="_GoBack"/>
      <w:bookmarkEnd w:id="0"/>
      <w:r w:rsidRPr="005C1626">
        <w:rPr>
          <w:lang w:val="es-ES"/>
        </w:rPr>
        <w:t>romueve normas mínimas mediante las cuales la comunidad humanitaria global responde a la situación apremiante de las personas afectadas por desastres o conflictos.</w:t>
      </w:r>
      <w:r w:rsidR="00210FEF">
        <w:rPr>
          <w:lang w:val="es-ES"/>
        </w:rPr>
        <w:t xml:space="preserve"> </w:t>
      </w:r>
      <w:r w:rsidRPr="005C1626">
        <w:rPr>
          <w:lang w:val="es-ES"/>
        </w:rPr>
        <w:t xml:space="preserve">Estas normas, que cubren sectores humanitarios que salvan vidas, además de los principios comunes en los que se basan, se detallan en el Manual Esfera: </w:t>
      </w:r>
      <w:r w:rsidR="00210FEF">
        <w:rPr>
          <w:lang w:val="es-ES"/>
        </w:rPr>
        <w:t>‘</w:t>
      </w:r>
      <w:r w:rsidRPr="005C1626">
        <w:rPr>
          <w:lang w:val="es-ES"/>
        </w:rPr>
        <w:t>Carta Humanitaria y normas mínimas para la respuesta humanitaria</w:t>
      </w:r>
      <w:r w:rsidR="00210FEF">
        <w:rPr>
          <w:lang w:val="es-ES"/>
        </w:rPr>
        <w:t>’</w:t>
      </w:r>
      <w:r w:rsidRPr="005C1626">
        <w:rPr>
          <w:lang w:val="es-ES"/>
        </w:rPr>
        <w:t xml:space="preserve">. </w:t>
      </w:r>
    </w:p>
    <w:p w14:paraId="19CA64BD" w14:textId="77777777" w:rsidR="003918D7" w:rsidRPr="005C1626" w:rsidRDefault="003918D7" w:rsidP="003918D7">
      <w:pPr>
        <w:pStyle w:val="Heading3"/>
        <w:rPr>
          <w:lang w:val="es-ES"/>
        </w:rPr>
      </w:pPr>
      <w:r w:rsidRPr="005C1626">
        <w:rPr>
          <w:lang w:val="es-ES"/>
        </w:rPr>
        <w:t>El Manual Esfera</w:t>
      </w:r>
    </w:p>
    <w:p w14:paraId="04876F92" w14:textId="77777777" w:rsidR="003918D7" w:rsidRPr="005C1626" w:rsidRDefault="003918D7" w:rsidP="003918D7">
      <w:pPr>
        <w:rPr>
          <w:lang w:val="es-ES"/>
        </w:rPr>
      </w:pPr>
      <w:r w:rsidRPr="005C1626">
        <w:rPr>
          <w:lang w:val="es-ES"/>
        </w:rPr>
        <w:t xml:space="preserve">El Manual Esfera es </w:t>
      </w:r>
      <w:r w:rsidR="00305BDD" w:rsidRPr="005C1626">
        <w:rPr>
          <w:lang w:val="es-ES"/>
        </w:rPr>
        <w:t xml:space="preserve">el conjunto </w:t>
      </w:r>
      <w:r w:rsidRPr="005C1626">
        <w:rPr>
          <w:lang w:val="es-ES"/>
        </w:rPr>
        <w:t>de principios comunes y normas mínimas universales para la asistencia humanitaria más difundida y reconocida a nivel internacional, permitiendo a actores humanitarios asegurar la calidad y la rendición de cuentas en su trabajo.</w:t>
      </w:r>
    </w:p>
    <w:p w14:paraId="5ACFEBC4" w14:textId="733E8C4B" w:rsidR="003918D7" w:rsidRPr="005C1626" w:rsidRDefault="003918D7" w:rsidP="003918D7">
      <w:pPr>
        <w:rPr>
          <w:lang w:val="es-ES"/>
        </w:rPr>
      </w:pPr>
      <w:r w:rsidRPr="005C1626">
        <w:rPr>
          <w:lang w:val="es-ES"/>
        </w:rPr>
        <w:t>El Manual se ha desarrollado mediante un proceso de consulta amplio y basado en el consenso dentro del sector humanitario.</w:t>
      </w:r>
      <w:r w:rsidR="00210FEF">
        <w:rPr>
          <w:lang w:val="es-ES"/>
        </w:rPr>
        <w:t xml:space="preserve"> </w:t>
      </w:r>
      <w:r w:rsidRPr="005C1626">
        <w:rPr>
          <w:lang w:val="es-ES"/>
        </w:rPr>
        <w:t xml:space="preserve">Al reflejar los esfuerzos conjuntos de una amplia gama de actores humanitarios, el Manual </w:t>
      </w:r>
      <w:r w:rsidR="00305BDD" w:rsidRPr="005C1626">
        <w:rPr>
          <w:lang w:val="es-ES"/>
        </w:rPr>
        <w:t xml:space="preserve">no pertenece a </w:t>
      </w:r>
      <w:r w:rsidRPr="005C1626">
        <w:rPr>
          <w:lang w:val="es-ES"/>
        </w:rPr>
        <w:t>ninguna organización en particular, proporcionando un lenguaje común entre las organizaciones.</w:t>
      </w:r>
    </w:p>
    <w:p w14:paraId="7594A548" w14:textId="288F0CAB" w:rsidR="003918D7" w:rsidRPr="005C1626" w:rsidRDefault="003918D7" w:rsidP="003918D7">
      <w:pPr>
        <w:rPr>
          <w:lang w:val="es-ES"/>
        </w:rPr>
      </w:pPr>
      <w:r w:rsidRPr="005C1626">
        <w:rPr>
          <w:lang w:val="es-ES"/>
        </w:rPr>
        <w:t>El Manual compila las normas mínimas universales basadas en pruebas en cuatro sectores que salvan vidas: abastecimiento de agua, saneamiento y promoción de la higiene; seguridad alimentaria y nutrición; alojamiento, asentamientos humanos y artículos no alimentarios; y acción de salud. Basado en principios morales y legales establecidos en la Carta Humanitaria, además define los principios de protección y las normas esenciales que informan cualquier respuesta humanitaria en un espíritu de calidad y rendición de cuentas a la población afectada.</w:t>
      </w:r>
      <w:r w:rsidR="00210FEF">
        <w:rPr>
          <w:lang w:val="es-ES"/>
        </w:rPr>
        <w:t xml:space="preserve"> </w:t>
      </w:r>
    </w:p>
    <w:p w14:paraId="6295C0D4" w14:textId="77777777" w:rsidR="003918D7" w:rsidRPr="005C1626" w:rsidRDefault="003918D7" w:rsidP="003918D7">
      <w:pPr>
        <w:pStyle w:val="Heading3"/>
        <w:rPr>
          <w:lang w:val="es-ES"/>
        </w:rPr>
      </w:pPr>
      <w:r w:rsidRPr="005C1626">
        <w:rPr>
          <w:lang w:val="es-ES"/>
        </w:rPr>
        <w:t>Identidad y gobierno</w:t>
      </w:r>
    </w:p>
    <w:p w14:paraId="261360A8" w14:textId="77777777" w:rsidR="003918D7" w:rsidRPr="005C1626" w:rsidRDefault="003918D7" w:rsidP="003918D7">
      <w:pPr>
        <w:rPr>
          <w:lang w:val="es-ES"/>
        </w:rPr>
      </w:pPr>
      <w:r w:rsidRPr="005C1626">
        <w:rPr>
          <w:lang w:val="es-ES"/>
        </w:rPr>
        <w:t>Iniciado en 1997 por un grupo de organizaciones no gubernamentales (ONG) humanitarias y el Movimiento Internacional de la Cruz Roja Internacional y la Media Luna Roja, el Proyecto Esfera ahora reúne a una gran comunidad de profesionales en todo el mundo, incluidos organismos de las Naciones Unidas (NU), gobiernos donantes y afectados e instituciones académicas.</w:t>
      </w:r>
    </w:p>
    <w:p w14:paraId="506FC620" w14:textId="2E6452DD" w:rsidR="003918D7" w:rsidRPr="005C1626" w:rsidRDefault="003918D7" w:rsidP="003918D7">
      <w:pPr>
        <w:rPr>
          <w:lang w:val="es-ES"/>
        </w:rPr>
      </w:pPr>
      <w:r w:rsidRPr="005C1626">
        <w:rPr>
          <w:lang w:val="es-ES"/>
        </w:rPr>
        <w:t>Las organizaciones que deseen alinear sus políticas y estrategias operativas con los principios y las normas de Esfera lo hacen voluntariamente.</w:t>
      </w:r>
      <w:r w:rsidR="00210FEF">
        <w:rPr>
          <w:lang w:val="es-ES"/>
        </w:rPr>
        <w:t xml:space="preserve"> </w:t>
      </w:r>
      <w:r w:rsidRPr="005C1626">
        <w:rPr>
          <w:lang w:val="es-ES"/>
        </w:rPr>
        <w:t>No existe ningún mecanismo de adhesión a Proyecto Esfera.</w:t>
      </w:r>
      <w:r w:rsidR="00210FEF">
        <w:rPr>
          <w:lang w:val="es-ES"/>
        </w:rPr>
        <w:t xml:space="preserve"> </w:t>
      </w:r>
      <w:r w:rsidRPr="005C1626">
        <w:rPr>
          <w:lang w:val="es-ES"/>
        </w:rPr>
        <w:t>Desde sus comienzos, el proceso Esfera ha procurado ser inclusivo, transparente y representativo a nivel global.</w:t>
      </w:r>
    </w:p>
    <w:p w14:paraId="6B10A332" w14:textId="77777777" w:rsidR="003918D7" w:rsidRPr="005C1626" w:rsidRDefault="003918D7" w:rsidP="003918D7">
      <w:pPr>
        <w:rPr>
          <w:lang w:val="es-ES"/>
        </w:rPr>
      </w:pPr>
      <w:r w:rsidRPr="005C1626">
        <w:rPr>
          <w:lang w:val="es-ES"/>
        </w:rPr>
        <w:t xml:space="preserve">El Proyecto Esfera está supervisado por un Consejo que representa las redes globales de ONG. Un pequeño equipo basado en Ginebra despliega la </w:t>
      </w:r>
      <w:r w:rsidR="00305BDD" w:rsidRPr="005C1626">
        <w:rPr>
          <w:lang w:val="es-ES"/>
        </w:rPr>
        <w:t>e</w:t>
      </w:r>
      <w:r w:rsidRPr="005C1626">
        <w:rPr>
          <w:lang w:val="es-ES"/>
        </w:rPr>
        <w:t>strategia de Esfera tal y como se desarrolla por el Consejo</w:t>
      </w:r>
      <w:r w:rsidR="00305BDD" w:rsidRPr="005C1626">
        <w:rPr>
          <w:lang w:val="es-ES"/>
        </w:rPr>
        <w:t xml:space="preserve"> de administración</w:t>
      </w:r>
      <w:r w:rsidRPr="005C1626">
        <w:rPr>
          <w:lang w:val="es-ES"/>
        </w:rPr>
        <w:t xml:space="preserve">, y asegura la producción del Manual Esfera y otros servicios. La financiación para apoyar el trabajo del equipo del proyecto se hace disponible a través de organizaciones miembros del Consejo </w:t>
      </w:r>
      <w:r w:rsidR="00305BDD" w:rsidRPr="005C1626">
        <w:rPr>
          <w:lang w:val="es-ES"/>
        </w:rPr>
        <w:t>y de donantes</w:t>
      </w:r>
    </w:p>
    <w:p w14:paraId="7851B2BE" w14:textId="77777777" w:rsidR="003918D7" w:rsidRPr="005C1626" w:rsidRDefault="003918D7" w:rsidP="003918D7">
      <w:pPr>
        <w:pStyle w:val="Heading3"/>
        <w:rPr>
          <w:lang w:val="es-ES"/>
        </w:rPr>
      </w:pPr>
      <w:r w:rsidRPr="005C1626">
        <w:rPr>
          <w:lang w:val="es-ES"/>
        </w:rPr>
        <w:t>Valores y principios rectores</w:t>
      </w:r>
    </w:p>
    <w:p w14:paraId="71430D58" w14:textId="750643C8" w:rsidR="003918D7" w:rsidRPr="005C1626" w:rsidRDefault="003918D7" w:rsidP="003918D7">
      <w:pPr>
        <w:rPr>
          <w:lang w:val="es-ES"/>
        </w:rPr>
      </w:pPr>
      <w:r w:rsidRPr="005C1626">
        <w:rPr>
          <w:lang w:val="es-ES"/>
        </w:rPr>
        <w:t>El Proyecto Esfera tiene como objetivo anclar las respuestas humanitarias en un enfoque basado en la participación y los derechos.</w:t>
      </w:r>
      <w:r w:rsidR="00210FEF">
        <w:rPr>
          <w:lang w:val="es-ES"/>
        </w:rPr>
        <w:t xml:space="preserve"> </w:t>
      </w:r>
      <w:r w:rsidRPr="005C1626">
        <w:rPr>
          <w:lang w:val="es-ES"/>
        </w:rPr>
        <w:t xml:space="preserve">La Carta Humanitaria reconoce que los afectados por un desastre o conflicto tienen derecho a una vida </w:t>
      </w:r>
      <w:proofErr w:type="gramStart"/>
      <w:r w:rsidRPr="005C1626">
        <w:rPr>
          <w:lang w:val="es-ES"/>
        </w:rPr>
        <w:t>digna</w:t>
      </w:r>
      <w:proofErr w:type="gramEnd"/>
      <w:r w:rsidRPr="005C1626">
        <w:rPr>
          <w:lang w:val="es-ES"/>
        </w:rPr>
        <w:t>, así como a recibir asistencia humanitaria y protección y seguridad, y pone estos derechos en el centro de la respuesta humanitaria.</w:t>
      </w:r>
    </w:p>
    <w:p w14:paraId="3463DF95" w14:textId="77777777" w:rsidR="003918D7" w:rsidRPr="005C1626" w:rsidRDefault="003918D7" w:rsidP="003918D7">
      <w:pPr>
        <w:rPr>
          <w:lang w:val="es-ES"/>
        </w:rPr>
      </w:pPr>
      <w:r w:rsidRPr="005C1626">
        <w:rPr>
          <w:lang w:val="es-ES"/>
        </w:rPr>
        <w:t xml:space="preserve">El Proyecto Esfera promueve la participación activa de poblaciones afectadas además de las autoridades locales y nacionales en todas las etapas de la respuesta y recomienda encarecidamente a los actores humanitarios internacionales desarrollar su respuesta en base a capacidades locales y nacionales. </w:t>
      </w:r>
    </w:p>
    <w:p w14:paraId="76851F48" w14:textId="77777777" w:rsidR="003918D7" w:rsidRPr="005C1626" w:rsidRDefault="003918D7" w:rsidP="003918D7">
      <w:pPr>
        <w:pStyle w:val="Heading3"/>
        <w:rPr>
          <w:lang w:val="es-ES"/>
        </w:rPr>
      </w:pPr>
      <w:r w:rsidRPr="005C1626">
        <w:rPr>
          <w:lang w:val="es-ES"/>
        </w:rPr>
        <w:t>Normas complementarias, socios y puntos focales</w:t>
      </w:r>
    </w:p>
    <w:p w14:paraId="6C0E0A49" w14:textId="77777777" w:rsidR="003918D7" w:rsidRPr="005C1626" w:rsidRDefault="003918D7" w:rsidP="003918D7">
      <w:pPr>
        <w:keepNext/>
        <w:rPr>
          <w:lang w:val="es-ES"/>
        </w:rPr>
      </w:pPr>
      <w:r w:rsidRPr="005C1626">
        <w:rPr>
          <w:lang w:val="es-ES"/>
        </w:rPr>
        <w:t xml:space="preserve">Algunos sectores humanitarios no cubiertos por el Manual Esfera han desarrollado sus propias normas a través de un proceso de consulta basado en </w:t>
      </w:r>
      <w:proofErr w:type="gramStart"/>
      <w:r w:rsidRPr="005C1626">
        <w:rPr>
          <w:lang w:val="es-ES"/>
        </w:rPr>
        <w:t>los derechos inspirado</w:t>
      </w:r>
      <w:proofErr w:type="gramEnd"/>
      <w:r w:rsidRPr="005C1626">
        <w:rPr>
          <w:lang w:val="es-ES"/>
        </w:rPr>
        <w:t xml:space="preserve"> en Esfera. </w:t>
      </w:r>
    </w:p>
    <w:p w14:paraId="71AD798B" w14:textId="73494C90" w:rsidR="003918D7" w:rsidRPr="005C1626" w:rsidRDefault="003918D7" w:rsidP="003918D7">
      <w:pPr>
        <w:rPr>
          <w:lang w:val="es-ES"/>
        </w:rPr>
      </w:pPr>
      <w:r w:rsidRPr="005C1626">
        <w:rPr>
          <w:lang w:val="es-ES"/>
        </w:rPr>
        <w:t xml:space="preserve">El Proyecto Esfera reconoce las siguientes normas como normas complementarias al Manual Esfera: las </w:t>
      </w:r>
      <w:r w:rsidR="00210FEF">
        <w:rPr>
          <w:lang w:val="es-ES"/>
        </w:rPr>
        <w:t>‘</w:t>
      </w:r>
      <w:r w:rsidRPr="005C1626">
        <w:rPr>
          <w:lang w:val="es-ES"/>
        </w:rPr>
        <w:t>Normas mínimas para la educación: preparación, respuesta, recuperación</w:t>
      </w:r>
      <w:r w:rsidR="00210FEF">
        <w:rPr>
          <w:lang w:val="es-ES"/>
        </w:rPr>
        <w:t xml:space="preserve">’ </w:t>
      </w:r>
      <w:r w:rsidRPr="005C1626">
        <w:rPr>
          <w:lang w:val="es-ES"/>
        </w:rPr>
        <w:t xml:space="preserve">publicadas por la Red </w:t>
      </w:r>
      <w:proofErr w:type="spellStart"/>
      <w:r w:rsidRPr="005C1626">
        <w:rPr>
          <w:lang w:val="es-ES"/>
        </w:rPr>
        <w:t>Interagencial</w:t>
      </w:r>
      <w:proofErr w:type="spellEnd"/>
      <w:r w:rsidRPr="005C1626">
        <w:rPr>
          <w:lang w:val="es-ES"/>
        </w:rPr>
        <w:t xml:space="preserve"> para la Educación en Situaciones de Emergencia (INEE); las </w:t>
      </w:r>
      <w:r w:rsidR="00210FEF">
        <w:rPr>
          <w:lang w:val="es-ES"/>
        </w:rPr>
        <w:t>‘</w:t>
      </w:r>
      <w:r w:rsidRPr="005C1626">
        <w:rPr>
          <w:lang w:val="es-ES"/>
        </w:rPr>
        <w:t>Normas y directrices para intervenciones ganaderas en emergencias</w:t>
      </w:r>
      <w:r w:rsidR="00210FEF">
        <w:rPr>
          <w:lang w:val="es-ES"/>
        </w:rPr>
        <w:t>’</w:t>
      </w:r>
      <w:r w:rsidRPr="005C1626">
        <w:rPr>
          <w:lang w:val="es-ES"/>
        </w:rPr>
        <w:t xml:space="preserve"> publicadas por el Proyecto LEGS; las Normas mínimas para la educación de INEE; y las </w:t>
      </w:r>
      <w:r w:rsidR="00210FEF">
        <w:rPr>
          <w:lang w:val="es-ES"/>
        </w:rPr>
        <w:t>‘</w:t>
      </w:r>
      <w:r w:rsidRPr="005C1626">
        <w:rPr>
          <w:lang w:val="es-ES"/>
        </w:rPr>
        <w:t>Normas mínimas para la recuperación económica</w:t>
      </w:r>
      <w:r w:rsidR="00210FEF">
        <w:rPr>
          <w:lang w:val="es-ES"/>
        </w:rPr>
        <w:t>’</w:t>
      </w:r>
      <w:r w:rsidRPr="005C1626">
        <w:rPr>
          <w:lang w:val="es-ES"/>
        </w:rPr>
        <w:t xml:space="preserve"> de la Red SEEP.</w:t>
      </w:r>
    </w:p>
    <w:p w14:paraId="271CC069" w14:textId="156BB4B6" w:rsidR="003918D7" w:rsidRDefault="003918D7" w:rsidP="003918D7">
      <w:pPr>
        <w:rPr>
          <w:lang w:val="es-ES"/>
        </w:rPr>
      </w:pPr>
      <w:r w:rsidRPr="005C1626">
        <w:rPr>
          <w:lang w:val="es-ES"/>
        </w:rPr>
        <w:t xml:space="preserve">En numerosos países afectados por desastres y conflictos, la comunidad humanitaria ha establecido puntos focales Esfera (los </w:t>
      </w:r>
      <w:r w:rsidR="00210FEF">
        <w:rPr>
          <w:lang w:val="es-ES"/>
        </w:rPr>
        <w:t>“</w:t>
      </w:r>
      <w:r w:rsidRPr="005C1626">
        <w:rPr>
          <w:lang w:val="es-ES"/>
        </w:rPr>
        <w:t>socios Esfera</w:t>
      </w:r>
      <w:r w:rsidR="00210FEF">
        <w:rPr>
          <w:lang w:val="es-ES"/>
        </w:rPr>
        <w:t>”</w:t>
      </w:r>
      <w:r w:rsidRPr="005C1626">
        <w:rPr>
          <w:lang w:val="es-ES"/>
        </w:rPr>
        <w:t xml:space="preserve"> son puntos focales regionales) que promueven Esfera de forma activa con trabajadores profesionales además de gobiernos nacionales y locales. </w:t>
      </w:r>
    </w:p>
    <w:p w14:paraId="380E6698" w14:textId="5654AEB6" w:rsidR="003918D7" w:rsidRDefault="00210FEF" w:rsidP="003918D7">
      <w:pPr>
        <w:pStyle w:val="Heading3"/>
        <w:spacing w:before="0"/>
        <w:jc w:val="center"/>
      </w:pPr>
      <w:r>
        <w:rPr>
          <w:noProof/>
          <w:lang w:val="en-GB" w:eastAsia="en-GB"/>
        </w:rPr>
        <w:lastRenderedPageBreak/>
        <w:drawing>
          <wp:inline distT="0" distB="0" distL="0" distR="0" wp14:anchorId="09BF5319" wp14:editId="0D26D08C">
            <wp:extent cx="2326640" cy="948009"/>
            <wp:effectExtent l="0" t="0" r="1016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nish-Sphere-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640" cy="94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6162D" w14:textId="77777777" w:rsidR="000904AD" w:rsidRPr="000904AD" w:rsidRDefault="000904AD" w:rsidP="000904AD"/>
    <w:p w14:paraId="1B8293F0" w14:textId="77777777" w:rsidR="00A362E5" w:rsidRPr="00210FEF" w:rsidRDefault="003918D7" w:rsidP="00315365">
      <w:pPr>
        <w:pStyle w:val="Heading3"/>
        <w:tabs>
          <w:tab w:val="clear" w:pos="9356"/>
        </w:tabs>
        <w:spacing w:after="240"/>
        <w:jc w:val="center"/>
        <w:rPr>
          <w:sz w:val="20"/>
          <w:szCs w:val="20"/>
          <w:lang w:val="es-ES"/>
        </w:rPr>
      </w:pPr>
      <w:r w:rsidRPr="00210FEF">
        <w:rPr>
          <w:sz w:val="20"/>
          <w:szCs w:val="20"/>
          <w:lang w:val="es-ES"/>
        </w:rPr>
        <w:t>Mejorar la calidad y la rendición de cuentas de las respuestas humanitarias con un enfoque centrado en las personas y basado en los derechos, y la definición de unas normas mínimas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9"/>
        <w:gridCol w:w="352"/>
        <w:gridCol w:w="1863"/>
        <w:gridCol w:w="1736"/>
        <w:gridCol w:w="201"/>
        <w:gridCol w:w="2791"/>
      </w:tblGrid>
      <w:tr w:rsidR="00A362E5" w:rsidRPr="00771DC3" w14:paraId="61A0781C" w14:textId="77777777" w:rsidTr="00210FEF">
        <w:trPr>
          <w:jc w:val="center"/>
        </w:trPr>
        <w:tc>
          <w:tcPr>
            <w:tcW w:w="1495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7B7212EF" w14:textId="77777777" w:rsidR="00A362E5" w:rsidRPr="00210FEF" w:rsidRDefault="00A362E5" w:rsidP="00210FEF">
            <w:pPr>
              <w:pStyle w:val="tableheading"/>
            </w:pPr>
            <w:r w:rsidRPr="00210FEF">
              <w:t>Carta Humanitaria</w:t>
            </w:r>
          </w:p>
          <w:p w14:paraId="624D563B" w14:textId="77777777" w:rsidR="00A362E5" w:rsidRPr="00210FEF" w:rsidRDefault="00A362E5" w:rsidP="00965EAB">
            <w:pPr>
              <w:pStyle w:val="tablebullet"/>
            </w:pPr>
            <w:r w:rsidRPr="00210FEF">
              <w:t>El derecho a vivir con dignidad</w:t>
            </w:r>
          </w:p>
          <w:p w14:paraId="4BF1F591" w14:textId="77777777" w:rsidR="00A362E5" w:rsidRPr="00210FEF" w:rsidRDefault="00A362E5" w:rsidP="00965EAB">
            <w:pPr>
              <w:pStyle w:val="tablebullet"/>
            </w:pPr>
            <w:r w:rsidRPr="00210FEF">
              <w:t>El derecho a recibir asistencia humanitaria</w:t>
            </w:r>
          </w:p>
          <w:p w14:paraId="1C66973E" w14:textId="77777777" w:rsidR="00A362E5" w:rsidRPr="00210FEF" w:rsidRDefault="00A362E5" w:rsidP="00965EAB">
            <w:pPr>
              <w:pStyle w:val="tablebullet"/>
            </w:pPr>
            <w:r w:rsidRPr="00210FEF">
              <w:t xml:space="preserve">El derecho a la protección y a la seguridad </w:t>
            </w:r>
          </w:p>
        </w:tc>
        <w:tc>
          <w:tcPr>
            <w:tcW w:w="1914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</w:tcPr>
          <w:p w14:paraId="26C4D7A7" w14:textId="77777777" w:rsidR="00A362E5" w:rsidRPr="00210FEF" w:rsidRDefault="00A362E5" w:rsidP="00210FEF">
            <w:pPr>
              <w:pStyle w:val="tableheading"/>
            </w:pPr>
            <w:r w:rsidRPr="00210FEF">
              <w:t xml:space="preserve">Principios </w:t>
            </w:r>
          </w:p>
          <w:p w14:paraId="1B08CE38" w14:textId="122FD397" w:rsidR="00062861" w:rsidRDefault="00A362E5" w:rsidP="00965EAB">
            <w:pPr>
              <w:pStyle w:val="table"/>
              <w:spacing w:before="160" w:after="120"/>
              <w:jc w:val="center"/>
            </w:pPr>
            <w:r w:rsidRPr="00210FEF">
              <w:t>puestos en práctica utilizando las</w:t>
            </w:r>
          </w:p>
          <w:p w14:paraId="4B633FC1" w14:textId="4C4B2DA6" w:rsidR="00A362E5" w:rsidRPr="00210FEF" w:rsidRDefault="00A362E5" w:rsidP="00F42590">
            <w:pPr>
              <w:pStyle w:val="tableheading"/>
            </w:pPr>
            <w:r w:rsidRPr="005609D1">
              <w:t>Normas Esfera</w:t>
            </w:r>
            <w:r w:rsidR="007F0BE4">
              <w:t>:</w:t>
            </w:r>
          </w:p>
        </w:tc>
        <w:tc>
          <w:tcPr>
            <w:tcW w:w="1591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39919B2B" w14:textId="77777777" w:rsidR="00A362E5" w:rsidRPr="00210FEF" w:rsidRDefault="00A362E5" w:rsidP="00210FEF">
            <w:pPr>
              <w:pStyle w:val="tableheading"/>
            </w:pPr>
            <w:r w:rsidRPr="00210FEF">
              <w:t>Principios de protección</w:t>
            </w:r>
          </w:p>
          <w:p w14:paraId="21FA821C" w14:textId="77777777" w:rsidR="00A362E5" w:rsidRPr="00210FEF" w:rsidRDefault="00A362E5" w:rsidP="00210FEF">
            <w:pPr>
              <w:pStyle w:val="tablebullet"/>
            </w:pPr>
            <w:r w:rsidRPr="00210FEF">
              <w:t>Evitar exponer a las personas a daños</w:t>
            </w:r>
          </w:p>
          <w:p w14:paraId="225E3C92" w14:textId="77777777" w:rsidR="00A362E5" w:rsidRPr="00210FEF" w:rsidRDefault="00A362E5" w:rsidP="00210FEF">
            <w:pPr>
              <w:pStyle w:val="tablebullet"/>
            </w:pPr>
            <w:r w:rsidRPr="00210FEF">
              <w:t>Velar por una asistencia imparcial</w:t>
            </w:r>
          </w:p>
          <w:p w14:paraId="1446830F" w14:textId="77777777" w:rsidR="00A362E5" w:rsidRPr="00210FEF" w:rsidRDefault="00A362E5" w:rsidP="00210FEF">
            <w:pPr>
              <w:pStyle w:val="tablebullet"/>
            </w:pPr>
            <w:r w:rsidRPr="00210FEF">
              <w:t>Proteger a las personas de la violencia</w:t>
            </w:r>
          </w:p>
          <w:p w14:paraId="701E9E01" w14:textId="77777777" w:rsidR="00A362E5" w:rsidRPr="00210FEF" w:rsidRDefault="00A362E5" w:rsidP="00210FEF">
            <w:pPr>
              <w:pStyle w:val="tablebullet"/>
            </w:pPr>
            <w:r w:rsidRPr="00210FEF">
              <w:t>Ayudar a las personas a reivindicar derechos, obtener reparación y recuperarse de los efectos de los abusos sufridos</w:t>
            </w:r>
          </w:p>
        </w:tc>
      </w:tr>
      <w:tr w:rsidR="00A362E5" w:rsidRPr="00771DC3" w14:paraId="541D06BC" w14:textId="77777777" w:rsidTr="00F42590">
        <w:trPr>
          <w:jc w:val="center"/>
        </w:trPr>
        <w:tc>
          <w:tcPr>
            <w:tcW w:w="1495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</w:tcPr>
          <w:p w14:paraId="642CABCD" w14:textId="77777777" w:rsidR="00A362E5" w:rsidRPr="00210FEF" w:rsidRDefault="00A362E5" w:rsidP="00210FEF">
            <w:pPr>
              <w:pStyle w:val="tableheading"/>
            </w:pPr>
            <w:r w:rsidRPr="00210FEF">
              <w:t>Normas complementarias</w:t>
            </w:r>
          </w:p>
          <w:p w14:paraId="20C7CB50" w14:textId="77777777" w:rsidR="00A362E5" w:rsidRPr="00210FEF" w:rsidRDefault="00A362E5" w:rsidP="00210FEF">
            <w:pPr>
              <w:pStyle w:val="tablebullet"/>
            </w:pPr>
            <w:r w:rsidRPr="00210FEF">
              <w:t>Educación (INEE)</w:t>
            </w:r>
          </w:p>
          <w:p w14:paraId="2BCF8EDC" w14:textId="77777777" w:rsidR="00A362E5" w:rsidRPr="00210FEF" w:rsidRDefault="00A362E5" w:rsidP="00210FEF">
            <w:pPr>
              <w:pStyle w:val="tablebullet"/>
            </w:pPr>
            <w:r w:rsidRPr="00210FEF">
              <w:t>Ganado (LEGS)</w:t>
            </w:r>
          </w:p>
          <w:p w14:paraId="54A85CBF" w14:textId="77777777" w:rsidR="00A362E5" w:rsidRPr="00210FEF" w:rsidRDefault="00A362E5" w:rsidP="00210FEF">
            <w:pPr>
              <w:pStyle w:val="tablebullet"/>
            </w:pPr>
            <w:r w:rsidRPr="00210FEF">
              <w:t>Recuperación económica (SEEP)</w:t>
            </w:r>
          </w:p>
          <w:p w14:paraId="59FAE885" w14:textId="77777777" w:rsidR="00A362E5" w:rsidRPr="00210FEF" w:rsidRDefault="00A362E5" w:rsidP="00210FEF">
            <w:pPr>
              <w:pStyle w:val="tablebullet"/>
            </w:pPr>
            <w:r w:rsidRPr="00210FEF">
              <w:t>Protección de los niños (CPMS)</w:t>
            </w:r>
          </w:p>
        </w:tc>
        <w:tc>
          <w:tcPr>
            <w:tcW w:w="1914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62274C75" w14:textId="77777777" w:rsidR="00F42590" w:rsidRPr="00210FEF" w:rsidRDefault="00F42590" w:rsidP="00F42590">
            <w:pPr>
              <w:pStyle w:val="tableheading"/>
            </w:pPr>
            <w:r w:rsidRPr="00210FEF">
              <w:t>Normas esenciales</w:t>
            </w:r>
          </w:p>
          <w:p w14:paraId="18AD0FCE" w14:textId="77777777" w:rsidR="00F42590" w:rsidRPr="00210FEF" w:rsidRDefault="00F42590" w:rsidP="00F42590">
            <w:pPr>
              <w:pStyle w:val="tablebullet"/>
            </w:pPr>
            <w:r w:rsidRPr="00210FEF">
              <w:t>Respuesta humanitaria centrada en las personas</w:t>
            </w:r>
          </w:p>
          <w:p w14:paraId="42440982" w14:textId="77777777" w:rsidR="00F42590" w:rsidRPr="00210FEF" w:rsidRDefault="00F42590" w:rsidP="00F42590">
            <w:pPr>
              <w:pStyle w:val="tablebullet"/>
            </w:pPr>
            <w:r w:rsidRPr="00210FEF">
              <w:t>Coordinación y colaboración</w:t>
            </w:r>
          </w:p>
          <w:p w14:paraId="472D987E" w14:textId="77777777" w:rsidR="00F42590" w:rsidRPr="00210FEF" w:rsidRDefault="00F42590" w:rsidP="00F42590">
            <w:pPr>
              <w:pStyle w:val="tablebullet"/>
            </w:pPr>
            <w:r w:rsidRPr="00210FEF">
              <w:t>Evaluación</w:t>
            </w:r>
          </w:p>
          <w:p w14:paraId="3B3FF290" w14:textId="77777777" w:rsidR="00F42590" w:rsidRPr="00210FEF" w:rsidRDefault="00F42590" w:rsidP="00F42590">
            <w:pPr>
              <w:pStyle w:val="tablebullet"/>
            </w:pPr>
            <w:r w:rsidRPr="00210FEF">
              <w:t>Diseño y respuesta</w:t>
            </w:r>
          </w:p>
          <w:p w14:paraId="4818290D" w14:textId="77777777" w:rsidR="00F42590" w:rsidRDefault="00F42590" w:rsidP="00F42590">
            <w:pPr>
              <w:pStyle w:val="tablebullet"/>
            </w:pPr>
            <w:r w:rsidRPr="00210FEF">
              <w:t>Desempeño, transparencia y aprendizaje</w:t>
            </w:r>
          </w:p>
          <w:p w14:paraId="09B72E0E" w14:textId="61EBA20D" w:rsidR="00A362E5" w:rsidRPr="00210FEF" w:rsidRDefault="00F42590" w:rsidP="00F42590">
            <w:pPr>
              <w:pStyle w:val="tablebullet"/>
            </w:pPr>
            <w:r w:rsidRPr="00210FEF">
              <w:t>Desempeño de los trabajadores humanitarios</w:t>
            </w:r>
          </w:p>
        </w:tc>
        <w:tc>
          <w:tcPr>
            <w:tcW w:w="1591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</w:tcPr>
          <w:p w14:paraId="536E8C9A" w14:textId="77777777" w:rsidR="00A362E5" w:rsidRPr="00210FEF" w:rsidRDefault="00A362E5" w:rsidP="00210FEF">
            <w:pPr>
              <w:pStyle w:val="tableheading"/>
            </w:pPr>
            <w:r w:rsidRPr="00210FEF">
              <w:t>Temas transversales</w:t>
            </w:r>
          </w:p>
          <w:p w14:paraId="5314CEA7" w14:textId="77777777" w:rsidR="00A362E5" w:rsidRPr="00210FEF" w:rsidRDefault="00A362E5" w:rsidP="00210FEF">
            <w:pPr>
              <w:pStyle w:val="tablebullet"/>
            </w:pPr>
            <w:r w:rsidRPr="00210FEF">
              <w:t>Niños</w:t>
            </w:r>
          </w:p>
          <w:p w14:paraId="6048CD49" w14:textId="77777777" w:rsidR="00A362E5" w:rsidRPr="00210FEF" w:rsidRDefault="00A362E5" w:rsidP="00210FEF">
            <w:pPr>
              <w:pStyle w:val="tablebullet"/>
            </w:pPr>
            <w:r w:rsidRPr="00210FEF">
              <w:t>Reducción del riesgo de desastres</w:t>
            </w:r>
          </w:p>
          <w:p w14:paraId="63F84395" w14:textId="77777777" w:rsidR="00A362E5" w:rsidRPr="00210FEF" w:rsidRDefault="00A362E5" w:rsidP="00210FEF">
            <w:pPr>
              <w:pStyle w:val="tablebullet"/>
            </w:pPr>
            <w:r w:rsidRPr="00210FEF">
              <w:t>Medio ambiente</w:t>
            </w:r>
          </w:p>
          <w:p w14:paraId="464591B5" w14:textId="77777777" w:rsidR="00A362E5" w:rsidRPr="00210FEF" w:rsidRDefault="00A362E5" w:rsidP="00210FEF">
            <w:pPr>
              <w:pStyle w:val="tablebullet"/>
            </w:pPr>
            <w:r w:rsidRPr="00210FEF">
              <w:t>Género</w:t>
            </w:r>
          </w:p>
          <w:p w14:paraId="75F399C7" w14:textId="77777777" w:rsidR="00A362E5" w:rsidRPr="00210FEF" w:rsidRDefault="00A362E5" w:rsidP="00210FEF">
            <w:pPr>
              <w:pStyle w:val="tablebullet"/>
            </w:pPr>
            <w:r w:rsidRPr="00210FEF">
              <w:t>VIH y SIDA</w:t>
            </w:r>
          </w:p>
          <w:p w14:paraId="1D5F5D02" w14:textId="77777777" w:rsidR="00A362E5" w:rsidRPr="00210FEF" w:rsidRDefault="00A362E5" w:rsidP="00210FEF">
            <w:pPr>
              <w:pStyle w:val="tablebullet"/>
            </w:pPr>
            <w:r w:rsidRPr="00210FEF">
              <w:t>Personas de edad</w:t>
            </w:r>
          </w:p>
          <w:p w14:paraId="6E7FD6FD" w14:textId="77777777" w:rsidR="00A362E5" w:rsidRPr="00210FEF" w:rsidRDefault="00A362E5" w:rsidP="00210FEF">
            <w:pPr>
              <w:pStyle w:val="tablebullet"/>
            </w:pPr>
            <w:r w:rsidRPr="00210FEF">
              <w:t>Personas con discapacidad</w:t>
            </w:r>
          </w:p>
          <w:p w14:paraId="396789C4" w14:textId="77777777" w:rsidR="00A362E5" w:rsidRPr="00210FEF" w:rsidRDefault="00A362E5" w:rsidP="00210FEF">
            <w:pPr>
              <w:pStyle w:val="tablebullet"/>
            </w:pPr>
            <w:r w:rsidRPr="00210FEF">
              <w:t>Apoyo psicosocial</w:t>
            </w:r>
          </w:p>
        </w:tc>
      </w:tr>
      <w:tr w:rsidR="00A362E5" w:rsidRPr="00771DC3" w14:paraId="01431DD5" w14:textId="77777777" w:rsidTr="00210FEF">
        <w:trPr>
          <w:jc w:val="center"/>
        </w:trPr>
        <w:tc>
          <w:tcPr>
            <w:tcW w:w="5000" w:type="pct"/>
            <w:gridSpan w:val="6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</w:tcPr>
          <w:p w14:paraId="78982EAA" w14:textId="46A15A10" w:rsidR="00A362E5" w:rsidRPr="00210FEF" w:rsidRDefault="00062861" w:rsidP="00F42590">
            <w:pPr>
              <w:pStyle w:val="table"/>
            </w:pPr>
            <w:r w:rsidRPr="00210FEF">
              <w:t xml:space="preserve">…... a considerar al tener como objetivo alcanzar las </w:t>
            </w:r>
            <w:r w:rsidR="007F0BE4" w:rsidRPr="005609D1">
              <w:rPr>
                <w:b/>
              </w:rPr>
              <w:t>normas mínimas</w:t>
            </w:r>
            <w:r w:rsidRPr="00210FEF">
              <w:t>, incluido:</w:t>
            </w:r>
            <w:r>
              <w:t xml:space="preserve"> </w:t>
            </w:r>
            <w:r w:rsidR="007F0BE4" w:rsidRPr="005609D1">
              <w:rPr>
                <w:b/>
              </w:rPr>
              <w:t xml:space="preserve">acciones </w:t>
            </w:r>
            <w:r w:rsidR="00A362E5" w:rsidRPr="005609D1">
              <w:rPr>
                <w:b/>
              </w:rPr>
              <w:t>clave</w:t>
            </w:r>
            <w:r w:rsidR="00A362E5" w:rsidRPr="00210FEF">
              <w:t xml:space="preserve"> </w:t>
            </w:r>
            <w:r w:rsidR="00A362E5" w:rsidRPr="007F0BE4">
              <w:rPr>
                <w:b/>
              </w:rPr>
              <w:t xml:space="preserve">(AC) </w:t>
            </w:r>
            <w:r w:rsidR="00A362E5" w:rsidRPr="00210FEF">
              <w:t xml:space="preserve">para alcanzar los </w:t>
            </w:r>
            <w:r w:rsidR="00A362E5" w:rsidRPr="007F0BE4">
              <w:rPr>
                <w:b/>
              </w:rPr>
              <w:t>indicadores clave (IC)</w:t>
            </w:r>
            <w:r w:rsidR="00A362E5" w:rsidRPr="00210FEF">
              <w:t xml:space="preserve"> de las normas mínimas para medir si se ha alcanzado una norma mínima, y </w:t>
            </w:r>
            <w:r w:rsidR="007F0BE4" w:rsidRPr="007F0BE4">
              <w:rPr>
                <w:b/>
              </w:rPr>
              <w:t xml:space="preserve">notas </w:t>
            </w:r>
            <w:r w:rsidR="00A362E5" w:rsidRPr="007F0BE4">
              <w:rPr>
                <w:b/>
              </w:rPr>
              <w:t>de orientación</w:t>
            </w:r>
            <w:r w:rsidR="00A362E5" w:rsidRPr="00210FEF">
              <w:t xml:space="preserve"> a considerar cuando se intenta alcanzar las AC/los IC en los</w:t>
            </w:r>
            <w:r w:rsidR="00F42590">
              <w:t>:</w:t>
            </w:r>
          </w:p>
        </w:tc>
      </w:tr>
      <w:tr w:rsidR="00F42590" w:rsidRPr="00771DC3" w14:paraId="6AD5D6A0" w14:textId="77777777" w:rsidTr="00F42590">
        <w:trPr>
          <w:jc w:val="center"/>
        </w:trPr>
        <w:tc>
          <w:tcPr>
            <w:tcW w:w="5000" w:type="pct"/>
            <w:gridSpan w:val="6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</w:tcPr>
          <w:p w14:paraId="4E173194" w14:textId="5B308A9E" w:rsidR="00F42590" w:rsidRPr="00210FEF" w:rsidRDefault="00F42590" w:rsidP="00210FEF">
            <w:pPr>
              <w:pStyle w:val="tableheading"/>
              <w:rPr>
                <w:sz w:val="18"/>
                <w:szCs w:val="18"/>
              </w:rPr>
            </w:pPr>
            <w:r w:rsidRPr="00F42590">
              <w:rPr>
                <w:sz w:val="18"/>
                <w:szCs w:val="18"/>
              </w:rPr>
              <w:t>Capítulos técnicos</w:t>
            </w:r>
          </w:p>
        </w:tc>
      </w:tr>
      <w:tr w:rsidR="00210FEF" w:rsidRPr="00771DC3" w14:paraId="242B89E9" w14:textId="77777777" w:rsidTr="00210FEF">
        <w:trPr>
          <w:jc w:val="center"/>
        </w:trPr>
        <w:tc>
          <w:tcPr>
            <w:tcW w:w="1308" w:type="pct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06DC216A" w14:textId="77777777" w:rsidR="00A362E5" w:rsidRPr="00210FEF" w:rsidRDefault="00A362E5" w:rsidP="00210FEF">
            <w:pPr>
              <w:pStyle w:val="tableheading"/>
              <w:rPr>
                <w:sz w:val="18"/>
                <w:szCs w:val="18"/>
              </w:rPr>
            </w:pPr>
            <w:r w:rsidRPr="00210FEF">
              <w:rPr>
                <w:sz w:val="18"/>
                <w:szCs w:val="18"/>
              </w:rPr>
              <w:t xml:space="preserve">Abastecimiento de agua, saneamiento y promoción de la </w:t>
            </w:r>
            <w:r w:rsidR="005C1626" w:rsidRPr="00210FEF">
              <w:rPr>
                <w:sz w:val="18"/>
                <w:szCs w:val="18"/>
              </w:rPr>
              <w:t>higiene</w:t>
            </w:r>
          </w:p>
        </w:tc>
        <w:tc>
          <w:tcPr>
            <w:tcW w:w="1178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45FA995B" w14:textId="77777777" w:rsidR="00A362E5" w:rsidRPr="00210FEF" w:rsidRDefault="00A362E5" w:rsidP="00210FEF">
            <w:pPr>
              <w:pStyle w:val="tableheading"/>
              <w:rPr>
                <w:sz w:val="18"/>
                <w:szCs w:val="18"/>
              </w:rPr>
            </w:pPr>
            <w:r w:rsidRPr="00210FEF">
              <w:rPr>
                <w:sz w:val="18"/>
                <w:szCs w:val="18"/>
              </w:rPr>
              <w:t>Alimentación</w:t>
            </w:r>
          </w:p>
        </w:tc>
        <w:tc>
          <w:tcPr>
            <w:tcW w:w="1030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39D9FFBA" w14:textId="77777777" w:rsidR="00A362E5" w:rsidRPr="00210FEF" w:rsidRDefault="00A362E5" w:rsidP="00210FEF">
            <w:pPr>
              <w:pStyle w:val="tableheading"/>
              <w:rPr>
                <w:sz w:val="18"/>
                <w:szCs w:val="18"/>
              </w:rPr>
            </w:pPr>
            <w:r w:rsidRPr="00210FEF">
              <w:rPr>
                <w:sz w:val="18"/>
                <w:szCs w:val="18"/>
              </w:rPr>
              <w:t>Alojamiento/Artículos no alimentarios</w:t>
            </w:r>
          </w:p>
        </w:tc>
        <w:tc>
          <w:tcPr>
            <w:tcW w:w="1484" w:type="pct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7B34659F" w14:textId="77777777" w:rsidR="00A362E5" w:rsidRPr="00210FEF" w:rsidRDefault="00A362E5" w:rsidP="00210FEF">
            <w:pPr>
              <w:pStyle w:val="tableheading"/>
              <w:rPr>
                <w:sz w:val="18"/>
                <w:szCs w:val="18"/>
              </w:rPr>
            </w:pPr>
            <w:r w:rsidRPr="00210FEF">
              <w:rPr>
                <w:sz w:val="18"/>
                <w:szCs w:val="18"/>
              </w:rPr>
              <w:t>Salud</w:t>
            </w:r>
          </w:p>
        </w:tc>
      </w:tr>
      <w:tr w:rsidR="00210FEF" w:rsidRPr="00771DC3" w14:paraId="535A7405" w14:textId="77777777" w:rsidTr="00210FEF">
        <w:trPr>
          <w:trHeight w:val="2281"/>
          <w:jc w:val="center"/>
        </w:trPr>
        <w:tc>
          <w:tcPr>
            <w:tcW w:w="1308" w:type="pct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  <w:hideMark/>
          </w:tcPr>
          <w:p w14:paraId="355680F1" w14:textId="77777777" w:rsidR="00A362E5" w:rsidRPr="00210FEF" w:rsidRDefault="00A362E5" w:rsidP="00210FEF">
            <w:pPr>
              <w:pStyle w:val="tablebullet"/>
            </w:pPr>
            <w:r w:rsidRPr="00210FEF">
              <w:t>Abastecimiento de agua, saneamiento y promoción de la higiene</w:t>
            </w:r>
          </w:p>
          <w:p w14:paraId="529D7A76" w14:textId="77777777" w:rsidR="00A362E5" w:rsidRPr="00210FEF" w:rsidRDefault="00A362E5" w:rsidP="00210FEF">
            <w:pPr>
              <w:pStyle w:val="tablebullet"/>
            </w:pPr>
            <w:r w:rsidRPr="00210FEF">
              <w:t>Promoción de la higiene</w:t>
            </w:r>
          </w:p>
          <w:p w14:paraId="7E6FE3B2" w14:textId="77777777" w:rsidR="00A362E5" w:rsidRPr="00210FEF" w:rsidRDefault="00A362E5" w:rsidP="00210FEF">
            <w:pPr>
              <w:pStyle w:val="tablebullet"/>
            </w:pPr>
            <w:r w:rsidRPr="00210FEF">
              <w:t>Abastecimiento de agua</w:t>
            </w:r>
          </w:p>
          <w:p w14:paraId="257F13E9" w14:textId="77777777" w:rsidR="00A362E5" w:rsidRPr="00210FEF" w:rsidRDefault="00A362E5" w:rsidP="00210FEF">
            <w:pPr>
              <w:pStyle w:val="tablebullet"/>
            </w:pPr>
            <w:r w:rsidRPr="00210FEF">
              <w:t>Evacuación de excrementos</w:t>
            </w:r>
          </w:p>
          <w:p w14:paraId="172B8905" w14:textId="77777777" w:rsidR="00A362E5" w:rsidRPr="00210FEF" w:rsidRDefault="00A362E5" w:rsidP="00210FEF">
            <w:pPr>
              <w:pStyle w:val="tablebullet"/>
            </w:pPr>
            <w:r w:rsidRPr="00210FEF">
              <w:t xml:space="preserve">Control </w:t>
            </w:r>
            <w:proofErr w:type="spellStart"/>
            <w:r w:rsidRPr="00210FEF">
              <w:t>antivectorial</w:t>
            </w:r>
            <w:proofErr w:type="spellEnd"/>
          </w:p>
          <w:p w14:paraId="7C344135" w14:textId="77777777" w:rsidR="00A362E5" w:rsidRPr="00210FEF" w:rsidRDefault="00A362E5" w:rsidP="00210FEF">
            <w:pPr>
              <w:pStyle w:val="tablebullet"/>
            </w:pPr>
            <w:r w:rsidRPr="00210FEF">
              <w:t>Gestión de desechos sólidos</w:t>
            </w:r>
          </w:p>
          <w:p w14:paraId="7BB67786" w14:textId="77777777" w:rsidR="00A362E5" w:rsidRPr="00210FEF" w:rsidRDefault="00A362E5" w:rsidP="00210FEF">
            <w:pPr>
              <w:pStyle w:val="tablebullet"/>
            </w:pPr>
            <w:r w:rsidRPr="00210FEF">
              <w:t xml:space="preserve">Drenaje </w:t>
            </w:r>
          </w:p>
        </w:tc>
        <w:tc>
          <w:tcPr>
            <w:tcW w:w="1178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  <w:hideMark/>
          </w:tcPr>
          <w:p w14:paraId="221457D4" w14:textId="77777777" w:rsidR="00A362E5" w:rsidRPr="00210FEF" w:rsidRDefault="00A362E5" w:rsidP="00210FEF">
            <w:pPr>
              <w:pStyle w:val="tablebullet"/>
            </w:pPr>
            <w:r w:rsidRPr="00210FEF">
              <w:t>Evaluación de la seguridad alimentaria y la nutrición</w:t>
            </w:r>
          </w:p>
          <w:p w14:paraId="017A1525" w14:textId="77777777" w:rsidR="00A362E5" w:rsidRPr="00210FEF" w:rsidRDefault="00A362E5" w:rsidP="00210FEF">
            <w:pPr>
              <w:pStyle w:val="tablebullet"/>
            </w:pPr>
            <w:r w:rsidRPr="00210FEF">
              <w:t>Alimentación del lactante y del niño pequeño</w:t>
            </w:r>
          </w:p>
          <w:p w14:paraId="4389D79A" w14:textId="77777777" w:rsidR="00A362E5" w:rsidRPr="00210FEF" w:rsidRDefault="00A362E5" w:rsidP="00210FEF">
            <w:pPr>
              <w:pStyle w:val="tablebullet"/>
            </w:pPr>
            <w:r w:rsidRPr="00210FEF">
              <w:t>Tratamiento de la malnutrición aguda y las carencias de micronutrientes</w:t>
            </w:r>
          </w:p>
          <w:p w14:paraId="1A20FA67" w14:textId="77777777" w:rsidR="00A362E5" w:rsidRPr="00210FEF" w:rsidRDefault="00A362E5" w:rsidP="00210FEF">
            <w:pPr>
              <w:pStyle w:val="tablebullet"/>
            </w:pPr>
            <w:r w:rsidRPr="00210FEF">
              <w:t>Seguridad alimentaria</w:t>
            </w:r>
          </w:p>
        </w:tc>
        <w:tc>
          <w:tcPr>
            <w:tcW w:w="1030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  <w:hideMark/>
          </w:tcPr>
          <w:p w14:paraId="7E32FCFC" w14:textId="77777777" w:rsidR="00A362E5" w:rsidRPr="00210FEF" w:rsidRDefault="00A362E5" w:rsidP="00210FEF">
            <w:pPr>
              <w:pStyle w:val="tablebullet"/>
            </w:pPr>
            <w:r w:rsidRPr="00210FEF">
              <w:t>Alojamiento y asentamientos humanos</w:t>
            </w:r>
          </w:p>
          <w:p w14:paraId="052038E6" w14:textId="77777777" w:rsidR="00A362E5" w:rsidRPr="00210FEF" w:rsidRDefault="00A362E5" w:rsidP="00210FEF">
            <w:pPr>
              <w:pStyle w:val="tablebullet"/>
            </w:pPr>
            <w:r w:rsidRPr="00210FEF">
              <w:t>Artículos no alimentarios: Prendas de vestir, ropa de cama y enseres domésticos</w:t>
            </w:r>
          </w:p>
        </w:tc>
        <w:tc>
          <w:tcPr>
            <w:tcW w:w="1484" w:type="pct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</w:tcPr>
          <w:p w14:paraId="40339204" w14:textId="77777777" w:rsidR="00A362E5" w:rsidRPr="00210FEF" w:rsidRDefault="00A362E5" w:rsidP="00210FEF">
            <w:pPr>
              <w:pStyle w:val="tablebullet"/>
            </w:pPr>
            <w:r w:rsidRPr="00210FEF">
              <w:t>Sistemas de salud</w:t>
            </w:r>
          </w:p>
          <w:p w14:paraId="157581B7" w14:textId="77777777" w:rsidR="00A362E5" w:rsidRPr="00210FEF" w:rsidRDefault="00A362E5" w:rsidP="00210FEF">
            <w:pPr>
              <w:pStyle w:val="tablebullet"/>
            </w:pPr>
            <w:r w:rsidRPr="00210FEF">
              <w:t>Servicios de salud esenciales</w:t>
            </w:r>
          </w:p>
          <w:p w14:paraId="57FE1049" w14:textId="77777777" w:rsidR="00A362E5" w:rsidRPr="00210FEF" w:rsidRDefault="00A362E5" w:rsidP="009E1B62">
            <w:pPr>
              <w:pStyle w:val="tablesubbullet"/>
            </w:pPr>
            <w:r w:rsidRPr="00210FEF">
              <w:t>Control de enfermedades transmisibles</w:t>
            </w:r>
          </w:p>
          <w:p w14:paraId="48C3B34F" w14:textId="77777777" w:rsidR="00A362E5" w:rsidRPr="00210FEF" w:rsidRDefault="00A362E5" w:rsidP="009E1B62">
            <w:pPr>
              <w:pStyle w:val="tablesubbullet"/>
            </w:pPr>
            <w:r w:rsidRPr="00210FEF">
              <w:t>Salud infantil</w:t>
            </w:r>
          </w:p>
          <w:p w14:paraId="16C2C208" w14:textId="77777777" w:rsidR="00A362E5" w:rsidRPr="00210FEF" w:rsidRDefault="00A362E5" w:rsidP="009E1B62">
            <w:pPr>
              <w:pStyle w:val="tablesubbullet"/>
            </w:pPr>
            <w:r w:rsidRPr="00210FEF">
              <w:t>Salud sexual y reproductiva</w:t>
            </w:r>
          </w:p>
          <w:p w14:paraId="489A68B3" w14:textId="77777777" w:rsidR="00A362E5" w:rsidRPr="00210FEF" w:rsidRDefault="00A362E5" w:rsidP="009E1B62">
            <w:pPr>
              <w:pStyle w:val="tablesubbullet"/>
            </w:pPr>
            <w:r w:rsidRPr="00210FEF">
              <w:t>Lesiones</w:t>
            </w:r>
          </w:p>
          <w:p w14:paraId="66AF72EB" w14:textId="77777777" w:rsidR="00A362E5" w:rsidRPr="00210FEF" w:rsidRDefault="00A362E5" w:rsidP="009E1B62">
            <w:pPr>
              <w:pStyle w:val="tablesubbullet"/>
            </w:pPr>
            <w:r w:rsidRPr="00210FEF">
              <w:t>Salud mental</w:t>
            </w:r>
          </w:p>
          <w:p w14:paraId="73D87DAE" w14:textId="77777777" w:rsidR="00A362E5" w:rsidRPr="00210FEF" w:rsidRDefault="00A362E5" w:rsidP="009E1B62">
            <w:pPr>
              <w:pStyle w:val="tablesubbullet"/>
            </w:pPr>
            <w:r w:rsidRPr="00210FEF">
              <w:t>Enfermedades no transmisibles</w:t>
            </w:r>
          </w:p>
        </w:tc>
      </w:tr>
    </w:tbl>
    <w:p w14:paraId="2865CCDA" w14:textId="49A7C536" w:rsidR="003918D7" w:rsidRPr="00F42590" w:rsidRDefault="00224450" w:rsidP="00F42590">
      <w:pPr>
        <w:jc w:val="right"/>
        <w:rPr>
          <w:i/>
          <w:szCs w:val="20"/>
        </w:rPr>
      </w:pPr>
      <w:r w:rsidRPr="00210FEF">
        <w:rPr>
          <w:i/>
          <w:szCs w:val="20"/>
        </w:rPr>
        <w:t>© Oliver Hoffman</w:t>
      </w:r>
      <w:r w:rsidR="006E05CD">
        <w:rPr>
          <w:i/>
          <w:szCs w:val="20"/>
        </w:rPr>
        <w:t>n</w:t>
      </w:r>
      <w:r w:rsidRPr="00210FEF">
        <w:rPr>
          <w:i/>
          <w:szCs w:val="20"/>
        </w:rPr>
        <w:t xml:space="preserve">, </w:t>
      </w:r>
      <w:proofErr w:type="spellStart"/>
      <w:r w:rsidRPr="00210FEF">
        <w:rPr>
          <w:i/>
          <w:szCs w:val="20"/>
        </w:rPr>
        <w:t>Johanniter</w:t>
      </w:r>
      <w:proofErr w:type="spellEnd"/>
      <w:r w:rsidRPr="00210FEF">
        <w:rPr>
          <w:i/>
          <w:szCs w:val="20"/>
        </w:rPr>
        <w:t xml:space="preserve"> International </w:t>
      </w:r>
      <w:proofErr w:type="spellStart"/>
      <w:r w:rsidRPr="00210FEF">
        <w:rPr>
          <w:i/>
          <w:szCs w:val="20"/>
        </w:rPr>
        <w:t>Assistance</w:t>
      </w:r>
      <w:proofErr w:type="spellEnd"/>
    </w:p>
    <w:sectPr w:rsidR="003918D7" w:rsidRPr="00F42590" w:rsidSect="00F516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247" w:bottom="851" w:left="1247" w:header="709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D8982" w14:textId="77777777" w:rsidR="00062861" w:rsidRDefault="00062861" w:rsidP="002848CC">
      <w:pPr>
        <w:spacing w:before="0"/>
      </w:pPr>
      <w:r>
        <w:separator/>
      </w:r>
    </w:p>
  </w:endnote>
  <w:endnote w:type="continuationSeparator" w:id="0">
    <w:p w14:paraId="087D0F05" w14:textId="77777777" w:rsidR="00062861" w:rsidRDefault="00062861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0C556" w14:textId="77777777" w:rsidR="00062861" w:rsidRPr="004F1D9A" w:rsidRDefault="00062861" w:rsidP="00F51600">
    <w:pPr>
      <w:pStyle w:val="Footer"/>
    </w:pPr>
    <w:r w:rsidRPr="005C1626">
      <w:rPr>
        <w:lang w:val="es-ES"/>
      </w:rPr>
      <w:t xml:space="preserve">Módulo B3: Esfera, Reducción/gestión de riesgos de desastre y resiliencia. </w:t>
    </w:r>
    <w:r>
      <w:t>Paquete de capacitación Esfera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48845" w14:textId="77777777" w:rsidR="00062861" w:rsidRPr="005C1626" w:rsidRDefault="00062861" w:rsidP="00F51600">
    <w:pPr>
      <w:pStyle w:val="Footer"/>
      <w:rPr>
        <w:lang w:val="es-ES"/>
      </w:rPr>
    </w:pPr>
    <w:r w:rsidRPr="005C1626">
      <w:rPr>
        <w:lang w:val="es-ES"/>
      </w:rPr>
      <w:t>Módulo A1 – Esfera: breve visita guiada</w:t>
    </w:r>
    <w:r w:rsidRPr="005C1626">
      <w:rPr>
        <w:lang w:val="es-ES"/>
      </w:rPr>
      <w:tab/>
      <w:t>Paquete de capacitación Esfera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1C211" w14:textId="77777777" w:rsidR="00062861" w:rsidRPr="005C1626" w:rsidRDefault="00062861" w:rsidP="00891199">
    <w:pPr>
      <w:pStyle w:val="Footer"/>
      <w:rPr>
        <w:lang w:val="es-ES"/>
      </w:rPr>
    </w:pPr>
    <w:r w:rsidRPr="005C1626">
      <w:rPr>
        <w:lang w:val="es-ES"/>
      </w:rPr>
      <w:t>Módulo A1 – Esfera: breve visita guiada</w:t>
    </w:r>
    <w:r w:rsidRPr="005C1626">
      <w:rPr>
        <w:lang w:val="es-ES"/>
      </w:rPr>
      <w:tab/>
      <w:t>Paquete de capacitación Esfera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242DC" w14:textId="77777777" w:rsidR="00062861" w:rsidRDefault="00062861" w:rsidP="002848CC">
      <w:pPr>
        <w:spacing w:before="0"/>
      </w:pPr>
      <w:r>
        <w:separator/>
      </w:r>
    </w:p>
  </w:footnote>
  <w:footnote w:type="continuationSeparator" w:id="0">
    <w:p w14:paraId="78AD49EA" w14:textId="77777777" w:rsidR="00062861" w:rsidRDefault="00062861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B8511" w14:textId="77777777" w:rsidR="00062861" w:rsidRPr="004F1D9A" w:rsidRDefault="00062861" w:rsidP="00891199">
    <w:pPr>
      <w:pStyle w:val="Header"/>
    </w:pPr>
    <w:r>
      <w:t>Impresos</w:t>
    </w:r>
    <w:r>
      <w:tab/>
    </w:r>
    <w:r>
      <w:rPr>
        <w:noProof/>
        <w:lang w:val="en-GB" w:eastAsia="en-GB"/>
      </w:rPr>
      <w:drawing>
        <wp:inline distT="0" distB="0" distL="0" distR="0" wp14:anchorId="08AB744D" wp14:editId="34996293">
          <wp:extent cx="1859799" cy="381992"/>
          <wp:effectExtent l="0" t="0" r="0" b="0"/>
          <wp:docPr id="6" name="Picture 6" descr="Files:Current Client:Walkgrove:Sphere:Sphere examples and guidelines:Visual_guidelines_and_materials:HANDBOOK ICONS:Sphere-Project-Logo-Landscape-No-Tagline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iles:Current Client:Walkgrove:Sphere:Sphere examples and guidelines:Visual_guidelines_and_materials:HANDBOOK ICONS:Sphere-Project-Logo-Landscape-No-Tagline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27" cy="382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E964B" w14:textId="77777777" w:rsidR="00062861" w:rsidRPr="00175CA3" w:rsidRDefault="00062861" w:rsidP="00891199">
    <w:pPr>
      <w:pStyle w:val="Header"/>
    </w:pPr>
    <w:r>
      <w:t>Impresos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A4DA0" w14:textId="77777777" w:rsidR="00062861" w:rsidRPr="005C1626" w:rsidRDefault="00062861" w:rsidP="00F51600">
    <w:pPr>
      <w:pStyle w:val="Heading1"/>
      <w:rPr>
        <w:lang w:val="es-ES"/>
      </w:rPr>
    </w:pPr>
    <w:r w:rsidRPr="005C1626">
      <w:rPr>
        <w:lang w:val="es-ES"/>
      </w:rPr>
      <w:t>Módulo A1 – Esfera: breve visita guiada</w:t>
    </w:r>
    <w:r w:rsidRPr="005C1626">
      <w:rPr>
        <w:lang w:val="es-ES"/>
      </w:rPr>
      <w:tab/>
    </w:r>
    <w:r w:rsidRPr="008E3DDF">
      <w:rPr>
        <w:color w:val="579305" w:themeColor="accent1"/>
        <w:szCs w:val="28"/>
        <w:lang w:val="es-ES"/>
      </w:rPr>
      <w:t>Impresos</w:t>
    </w:r>
  </w:p>
  <w:p w14:paraId="4B60C073" w14:textId="77777777" w:rsidR="00062861" w:rsidRPr="00792B8B" w:rsidRDefault="00062861" w:rsidP="00F51600">
    <w:pPr>
      <w:pStyle w:val="Heading2"/>
      <w:pBdr>
        <w:bottom w:val="single" w:sz="4" w:space="4" w:color="004386" w:themeColor="text2"/>
      </w:pBdr>
      <w:spacing w:after="0"/>
    </w:pPr>
    <w:r>
      <w:t>¿En qué consiste Esfera?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C4D47E6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0"/>
      </w:rPr>
    </w:lvl>
  </w:abstractNum>
  <w:abstractNum w:abstractNumId="1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082DCA"/>
    <w:multiLevelType w:val="hybridMultilevel"/>
    <w:tmpl w:val="C1EAB630"/>
    <w:lvl w:ilvl="0" w:tplc="97CCFBDE">
      <w:start w:val="1"/>
      <w:numFmt w:val="bullet"/>
      <w:pStyle w:val="subbullet"/>
      <w:lvlText w:val="–"/>
      <w:lvlJc w:val="left"/>
      <w:pPr>
        <w:ind w:left="284" w:hanging="284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B019C8"/>
    <w:multiLevelType w:val="hybridMultilevel"/>
    <w:tmpl w:val="F886D154"/>
    <w:lvl w:ilvl="0" w:tplc="28F82D38">
      <w:start w:val="1"/>
      <w:numFmt w:val="bullet"/>
      <w:pStyle w:val="tablesub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5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0D7DD3"/>
    <w:multiLevelType w:val="hybridMultilevel"/>
    <w:tmpl w:val="0DC22FB2"/>
    <w:lvl w:ilvl="0" w:tplc="BD68BE1C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25672F"/>
    <w:multiLevelType w:val="hybridMultilevel"/>
    <w:tmpl w:val="5882EF42"/>
    <w:lvl w:ilvl="0" w:tplc="A6F0BB26">
      <w:start w:val="1"/>
      <w:numFmt w:val="bullet"/>
      <w:pStyle w:val="table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980635"/>
    <w:multiLevelType w:val="multilevel"/>
    <w:tmpl w:val="0DC22F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E0D21"/>
    <w:multiLevelType w:val="hybridMultilevel"/>
    <w:tmpl w:val="C59C6396"/>
    <w:lvl w:ilvl="0" w:tplc="08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1"/>
  </w:num>
  <w:num w:numId="8">
    <w:abstractNumId w:val="14"/>
  </w:num>
  <w:num w:numId="9">
    <w:abstractNumId w:val="8"/>
  </w:num>
  <w:num w:numId="10">
    <w:abstractNumId w:val="11"/>
  </w:num>
  <w:num w:numId="11">
    <w:abstractNumId w:val="5"/>
  </w:num>
  <w:num w:numId="12">
    <w:abstractNumId w:val="10"/>
  </w:num>
  <w:num w:numId="13">
    <w:abstractNumId w:val="9"/>
  </w:num>
  <w:num w:numId="14">
    <w:abstractNumId w:val="6"/>
  </w:num>
  <w:num w:numId="15">
    <w:abstractNumId w:val="7"/>
  </w:num>
  <w:num w:numId="16">
    <w:abstractNumId w:val="6"/>
  </w:num>
  <w:num w:numId="17">
    <w:abstractNumId w:val="7"/>
  </w:num>
  <w:num w:numId="18">
    <w:abstractNumId w:val="12"/>
  </w:num>
  <w:num w:numId="19">
    <w:abstractNumId w:val="2"/>
  </w:num>
  <w:num w:numId="20">
    <w:abstractNumId w:val="0"/>
  </w:num>
  <w:num w:numId="21">
    <w:abstractNumId w:val="13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62861"/>
    <w:rsid w:val="000904AD"/>
    <w:rsid w:val="0013229F"/>
    <w:rsid w:val="00144112"/>
    <w:rsid w:val="0015588F"/>
    <w:rsid w:val="00164B4E"/>
    <w:rsid w:val="001713BA"/>
    <w:rsid w:val="001737A1"/>
    <w:rsid w:val="001740C0"/>
    <w:rsid w:val="00175CA3"/>
    <w:rsid w:val="001869EC"/>
    <w:rsid w:val="001C7F2F"/>
    <w:rsid w:val="001D0724"/>
    <w:rsid w:val="001D7A65"/>
    <w:rsid w:val="001E1BE3"/>
    <w:rsid w:val="001F455D"/>
    <w:rsid w:val="001F7F75"/>
    <w:rsid w:val="00200D4D"/>
    <w:rsid w:val="00205074"/>
    <w:rsid w:val="00210FEF"/>
    <w:rsid w:val="002201FF"/>
    <w:rsid w:val="00224450"/>
    <w:rsid w:val="00237D09"/>
    <w:rsid w:val="00241992"/>
    <w:rsid w:val="002533C5"/>
    <w:rsid w:val="00274BC6"/>
    <w:rsid w:val="002848CC"/>
    <w:rsid w:val="002933E5"/>
    <w:rsid w:val="002958E2"/>
    <w:rsid w:val="002D3B86"/>
    <w:rsid w:val="002F2B87"/>
    <w:rsid w:val="0030064E"/>
    <w:rsid w:val="00305BDD"/>
    <w:rsid w:val="00314ADC"/>
    <w:rsid w:val="00315365"/>
    <w:rsid w:val="00315E11"/>
    <w:rsid w:val="00370153"/>
    <w:rsid w:val="003918D7"/>
    <w:rsid w:val="003A4483"/>
    <w:rsid w:val="003B2F9A"/>
    <w:rsid w:val="003C469E"/>
    <w:rsid w:val="003C5331"/>
    <w:rsid w:val="003E013F"/>
    <w:rsid w:val="003E2279"/>
    <w:rsid w:val="003E2DB9"/>
    <w:rsid w:val="003F0EB3"/>
    <w:rsid w:val="00407FCB"/>
    <w:rsid w:val="004231C3"/>
    <w:rsid w:val="0043797B"/>
    <w:rsid w:val="0045590B"/>
    <w:rsid w:val="00463DB5"/>
    <w:rsid w:val="004D2FE7"/>
    <w:rsid w:val="004D7062"/>
    <w:rsid w:val="004F1D9A"/>
    <w:rsid w:val="0050225B"/>
    <w:rsid w:val="005609D1"/>
    <w:rsid w:val="005666E3"/>
    <w:rsid w:val="005751FD"/>
    <w:rsid w:val="005848E9"/>
    <w:rsid w:val="005C1626"/>
    <w:rsid w:val="005F6AEE"/>
    <w:rsid w:val="00601FF7"/>
    <w:rsid w:val="006050DA"/>
    <w:rsid w:val="00620E7C"/>
    <w:rsid w:val="0063519D"/>
    <w:rsid w:val="00637110"/>
    <w:rsid w:val="00690F64"/>
    <w:rsid w:val="006C099B"/>
    <w:rsid w:val="006D149B"/>
    <w:rsid w:val="006E05CD"/>
    <w:rsid w:val="006E4E7A"/>
    <w:rsid w:val="006E74C4"/>
    <w:rsid w:val="007030AE"/>
    <w:rsid w:val="00714CE1"/>
    <w:rsid w:val="00715CA8"/>
    <w:rsid w:val="00731755"/>
    <w:rsid w:val="007577CE"/>
    <w:rsid w:val="00761400"/>
    <w:rsid w:val="00771DC3"/>
    <w:rsid w:val="00775878"/>
    <w:rsid w:val="00781146"/>
    <w:rsid w:val="00792B8B"/>
    <w:rsid w:val="007A255B"/>
    <w:rsid w:val="007A4412"/>
    <w:rsid w:val="007A7ACB"/>
    <w:rsid w:val="007B3E00"/>
    <w:rsid w:val="007E479A"/>
    <w:rsid w:val="007F0BE4"/>
    <w:rsid w:val="00810AFF"/>
    <w:rsid w:val="00811B63"/>
    <w:rsid w:val="00816A31"/>
    <w:rsid w:val="00825D04"/>
    <w:rsid w:val="008260A5"/>
    <w:rsid w:val="008647F3"/>
    <w:rsid w:val="008652CA"/>
    <w:rsid w:val="0087787A"/>
    <w:rsid w:val="00891199"/>
    <w:rsid w:val="00892968"/>
    <w:rsid w:val="008B4444"/>
    <w:rsid w:val="008B7D3C"/>
    <w:rsid w:val="008D07D9"/>
    <w:rsid w:val="008E3DDF"/>
    <w:rsid w:val="008F7DE8"/>
    <w:rsid w:val="0090172B"/>
    <w:rsid w:val="0090692F"/>
    <w:rsid w:val="00925784"/>
    <w:rsid w:val="00937519"/>
    <w:rsid w:val="009516C3"/>
    <w:rsid w:val="00965EAB"/>
    <w:rsid w:val="00971AD2"/>
    <w:rsid w:val="00981544"/>
    <w:rsid w:val="0098193F"/>
    <w:rsid w:val="00995549"/>
    <w:rsid w:val="009C6C4F"/>
    <w:rsid w:val="009D6A86"/>
    <w:rsid w:val="009D7027"/>
    <w:rsid w:val="009E1B62"/>
    <w:rsid w:val="009E270C"/>
    <w:rsid w:val="00A362E5"/>
    <w:rsid w:val="00A46634"/>
    <w:rsid w:val="00A50D5E"/>
    <w:rsid w:val="00A80DF5"/>
    <w:rsid w:val="00A93E89"/>
    <w:rsid w:val="00A95124"/>
    <w:rsid w:val="00AB088B"/>
    <w:rsid w:val="00AD30D2"/>
    <w:rsid w:val="00AF36C0"/>
    <w:rsid w:val="00B24AC4"/>
    <w:rsid w:val="00B40995"/>
    <w:rsid w:val="00B572C2"/>
    <w:rsid w:val="00B70E34"/>
    <w:rsid w:val="00B91AAC"/>
    <w:rsid w:val="00BD45D6"/>
    <w:rsid w:val="00BE3D5B"/>
    <w:rsid w:val="00C0309C"/>
    <w:rsid w:val="00C32D00"/>
    <w:rsid w:val="00C35B0F"/>
    <w:rsid w:val="00C507F3"/>
    <w:rsid w:val="00D064C5"/>
    <w:rsid w:val="00D221A6"/>
    <w:rsid w:val="00D34FFC"/>
    <w:rsid w:val="00D54219"/>
    <w:rsid w:val="00D90736"/>
    <w:rsid w:val="00DD0F73"/>
    <w:rsid w:val="00DE202F"/>
    <w:rsid w:val="00DE210D"/>
    <w:rsid w:val="00DE21D3"/>
    <w:rsid w:val="00DF2534"/>
    <w:rsid w:val="00E15219"/>
    <w:rsid w:val="00E2620E"/>
    <w:rsid w:val="00E26D30"/>
    <w:rsid w:val="00E528BD"/>
    <w:rsid w:val="00E71C66"/>
    <w:rsid w:val="00E8474E"/>
    <w:rsid w:val="00EA1F0B"/>
    <w:rsid w:val="00EB14C9"/>
    <w:rsid w:val="00EE535D"/>
    <w:rsid w:val="00F25952"/>
    <w:rsid w:val="00F42590"/>
    <w:rsid w:val="00F51600"/>
    <w:rsid w:val="00F52152"/>
    <w:rsid w:val="00F66ABC"/>
    <w:rsid w:val="00F67F82"/>
    <w:rsid w:val="00F97BB3"/>
    <w:rsid w:val="00FA7F78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212B87"/>
  <w15:docId w15:val="{E29FB539-2133-47D0-BD42-600ECCEAD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210FEF"/>
    <w:pPr>
      <w:spacing w:before="80"/>
    </w:pPr>
    <w:rPr>
      <w:bCs/>
      <w:szCs w:val="24"/>
      <w:lang w:val="es-ES_tradnl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891199"/>
    <w:pPr>
      <w:keepNext/>
      <w:tabs>
        <w:tab w:val="right" w:pos="9356"/>
      </w:tabs>
      <w:spacing w:before="0"/>
      <w:outlineLvl w:val="0"/>
    </w:pPr>
    <w:rPr>
      <w:rFonts w:ascii="Tahoma" w:eastAsiaTheme="majorEastAsi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4231C3"/>
    <w:pPr>
      <w:spacing w:before="160" w:after="400"/>
      <w:outlineLvl w:val="1"/>
    </w:pPr>
    <w:rPr>
      <w:rFonts w:cs="Arial"/>
      <w:b w:val="0"/>
      <w:i/>
      <w:color w:val="004386" w:themeColor="text2"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5848E9"/>
    <w:pPr>
      <w:spacing w:after="0"/>
      <w:outlineLvl w:val="2"/>
    </w:pPr>
    <w:rPr>
      <w:b/>
      <w:i w:val="0"/>
      <w:sz w:val="22"/>
      <w:szCs w:val="24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F51600"/>
    <w:pPr>
      <w:keepLines/>
      <w:spacing w:after="160"/>
      <w:outlineLvl w:val="3"/>
    </w:pPr>
    <w:rPr>
      <w:rFonts w:cstheme="majorBidi"/>
    </w:rPr>
  </w:style>
  <w:style w:type="paragraph" w:styleId="Heading5">
    <w:name w:val="heading 5"/>
    <w:basedOn w:val="Normal"/>
    <w:next w:val="Normal"/>
    <w:link w:val="Heading5Char"/>
    <w:qFormat/>
    <w:rsid w:val="00205074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891199"/>
    <w:rPr>
      <w:rFonts w:ascii="Tahoma" w:eastAsiaTheme="majorEastAsia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4231C3"/>
    <w:rPr>
      <w:rFonts w:ascii="Tahoma" w:eastAsiaTheme="majorEastAsia" w:hAnsi="Tahoma" w:cs="Arial"/>
      <w:bCs/>
      <w:i/>
      <w:color w:val="004386" w:themeColor="text2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5848E9"/>
    <w:rPr>
      <w:rFonts w:ascii="Tahoma" w:eastAsiaTheme="majorEastAsia" w:hAnsi="Tahoma" w:cs="Arial"/>
      <w:b/>
      <w:bCs/>
      <w:color w:val="004386" w:themeColor="text2"/>
      <w:kern w:val="32"/>
      <w:sz w:val="22"/>
      <w:szCs w:val="24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F51600"/>
    <w:rPr>
      <w:rFonts w:ascii="Tahoma" w:eastAsiaTheme="majorEastAsia" w:hAnsi="Tahoma" w:cstheme="majorBidi"/>
      <w:b/>
      <w:bCs/>
      <w:color w:val="004386" w:themeColor="text2"/>
      <w:kern w:val="32"/>
      <w:sz w:val="24"/>
      <w:szCs w:val="24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205074"/>
    <w:rPr>
      <w:b/>
      <w:bCs/>
      <w:i/>
      <w:iCs/>
      <w:sz w:val="26"/>
      <w:szCs w:val="26"/>
      <w:lang w:val="en-US"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205074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Emphasis">
    <w:name w:val="Emphasis"/>
    <w:qFormat/>
    <w:rsid w:val="00205074"/>
    <w:rPr>
      <w:b/>
      <w:i w:val="0"/>
      <w:iCs/>
    </w:rPr>
  </w:style>
  <w:style w:type="table" w:styleId="TableGrid">
    <w:name w:val="Table Grid"/>
    <w:basedOn w:val="TableNormal"/>
    <w:uiPriority w:val="59"/>
    <w:rsid w:val="00205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5074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074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074"/>
    <w:rPr>
      <w:rFonts w:cs="Tahoma"/>
      <w:bCs/>
      <w:sz w:val="16"/>
      <w:szCs w:val="16"/>
      <w:lang w:val="en-US" w:eastAsia="es-ES"/>
    </w:rPr>
  </w:style>
  <w:style w:type="paragraph" w:customStyle="1" w:styleId="table">
    <w:name w:val="table"/>
    <w:aliases w:val="t"/>
    <w:basedOn w:val="Normal"/>
    <w:qFormat/>
    <w:rsid w:val="00210FEF"/>
    <w:pPr>
      <w:spacing w:before="40" w:after="40"/>
    </w:pPr>
  </w:style>
  <w:style w:type="paragraph" w:customStyle="1" w:styleId="tableheading">
    <w:name w:val="table heading"/>
    <w:aliases w:val="th"/>
    <w:basedOn w:val="table"/>
    <w:qFormat/>
    <w:rsid w:val="00210FEF"/>
    <w:pPr>
      <w:keepNext/>
      <w:spacing w:before="80"/>
      <w:jc w:val="center"/>
    </w:pPr>
    <w:rPr>
      <w:rFonts w:ascii="Tahoma" w:hAnsi="Tahoma"/>
      <w:b/>
      <w:color w:val="004386" w:themeColor="text2"/>
      <w:szCs w:val="22"/>
    </w:rPr>
  </w:style>
  <w:style w:type="paragraph" w:customStyle="1" w:styleId="bullet">
    <w:name w:val="bullet"/>
    <w:aliases w:val="b"/>
    <w:basedOn w:val="Normal"/>
    <w:qFormat/>
    <w:rsid w:val="00205074"/>
    <w:pPr>
      <w:numPr>
        <w:numId w:val="16"/>
      </w:numPr>
    </w:pPr>
  </w:style>
  <w:style w:type="paragraph" w:customStyle="1" w:styleId="tablebullet">
    <w:name w:val="table bullet"/>
    <w:aliases w:val="tb"/>
    <w:basedOn w:val="table"/>
    <w:qFormat/>
    <w:rsid w:val="00210FEF"/>
    <w:pPr>
      <w:numPr>
        <w:numId w:val="17"/>
      </w:numPr>
      <w:ind w:left="227" w:hanging="227"/>
    </w:pPr>
  </w:style>
  <w:style w:type="paragraph" w:styleId="Header">
    <w:name w:val="header"/>
    <w:basedOn w:val="Normal"/>
    <w:link w:val="HeaderChar"/>
    <w:uiPriority w:val="99"/>
    <w:unhideWhenUsed/>
    <w:rsid w:val="00891199"/>
    <w:pPr>
      <w:pBdr>
        <w:bottom w:val="single" w:sz="4" w:space="4" w:color="004386" w:themeColor="text2"/>
      </w:pBdr>
      <w:tabs>
        <w:tab w:val="right" w:pos="9356"/>
      </w:tabs>
      <w:spacing w:before="0"/>
      <w:jc w:val="right"/>
    </w:pPr>
    <w:rPr>
      <w:rFonts w:ascii="Tahoma" w:hAnsi="Tahoma" w:cs="Tahoma"/>
      <w:b/>
      <w:color w:val="579305" w:themeColor="accent1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91199"/>
    <w:rPr>
      <w:rFonts w:ascii="Tahoma" w:hAnsi="Tahoma" w:cs="Tahoma"/>
      <w:b/>
      <w:bCs/>
      <w:color w:val="579305" w:themeColor="accent1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uiPriority w:val="99"/>
    <w:unhideWhenUsed/>
    <w:rsid w:val="00F51600"/>
    <w:pPr>
      <w:pBdr>
        <w:top w:val="single" w:sz="4" w:space="4" w:color="004386" w:themeColor="text2"/>
      </w:pBdr>
      <w:tabs>
        <w:tab w:val="right" w:pos="9356"/>
      </w:tabs>
      <w:spacing w:before="0"/>
    </w:pPr>
    <w:rPr>
      <w:rFonts w:ascii="Tahoma" w:hAnsi="Tahoma" w:cs="Tahoma"/>
      <w:color w:val="004386" w:themeColor="text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51600"/>
    <w:rPr>
      <w:rFonts w:ascii="Tahoma" w:hAnsi="Tahoma" w:cs="Tahoma"/>
      <w:bCs/>
      <w:color w:val="004386" w:themeColor="text2"/>
      <w:sz w:val="18"/>
      <w:szCs w:val="18"/>
      <w:lang w:val="en-US" w:eastAsia="es-ES"/>
    </w:rPr>
  </w:style>
  <w:style w:type="character" w:styleId="PageNumber">
    <w:name w:val="page number"/>
    <w:basedOn w:val="DefaultParagraphFont"/>
    <w:uiPriority w:val="99"/>
    <w:semiHidden/>
    <w:unhideWhenUsed/>
    <w:rsid w:val="00205074"/>
    <w:rPr>
      <w:rFonts w:asciiTheme="minorHAnsi" w:hAnsi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205074"/>
    <w:rPr>
      <w:color w:val="004386"/>
      <w:u w:val="single"/>
    </w:rPr>
  </w:style>
  <w:style w:type="paragraph" w:customStyle="1" w:styleId="subbullet">
    <w:name w:val="sub bullet"/>
    <w:aliases w:val="s"/>
    <w:basedOn w:val="Normal"/>
    <w:qFormat/>
    <w:rsid w:val="00DE202F"/>
    <w:pPr>
      <w:numPr>
        <w:numId w:val="19"/>
      </w:numPr>
      <w:ind w:left="568"/>
    </w:pPr>
  </w:style>
  <w:style w:type="character" w:styleId="CommentReference">
    <w:name w:val="annotation reference"/>
    <w:basedOn w:val="DefaultParagraphFont"/>
    <w:uiPriority w:val="99"/>
    <w:semiHidden/>
    <w:unhideWhenUsed/>
    <w:rsid w:val="00771D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1D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1DC3"/>
    <w:rPr>
      <w:bCs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1DC3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1DC3"/>
    <w:rPr>
      <w:b/>
      <w:bCs/>
      <w:lang w:val="en-GB" w:eastAsia="es-ES"/>
    </w:rPr>
  </w:style>
  <w:style w:type="paragraph" w:customStyle="1" w:styleId="tablesubbullet">
    <w:name w:val="table sub bullet"/>
    <w:basedOn w:val="tablebullet"/>
    <w:qFormat/>
    <w:rsid w:val="009E1B62"/>
    <w:pPr>
      <w:keepLines/>
      <w:numPr>
        <w:numId w:val="22"/>
      </w:numPr>
      <w:tabs>
        <w:tab w:val="left" w:pos="284"/>
      </w:tabs>
      <w:ind w:left="454" w:hanging="22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1060</Words>
  <Characters>6047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CeciliaFurtade</cp:lastModifiedBy>
  <cp:revision>4</cp:revision>
  <cp:lastPrinted>2015-01-05T09:17:00Z</cp:lastPrinted>
  <dcterms:created xsi:type="dcterms:W3CDTF">2015-02-04T13:46:00Z</dcterms:created>
  <dcterms:modified xsi:type="dcterms:W3CDTF">2015-03-02T11:34:00Z</dcterms:modified>
</cp:coreProperties>
</file>